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436E" w14:textId="77777777" w:rsidR="00AC7A49" w:rsidRDefault="00AC7A49" w:rsidP="00FD7DB4">
      <w:pPr>
        <w:jc w:val="center"/>
      </w:pPr>
      <w:r>
        <w:rPr>
          <w:noProof/>
        </w:rPr>
        <w:drawing>
          <wp:inline distT="0" distB="0" distL="0" distR="0" wp14:anchorId="5F6DEF0F" wp14:editId="17790504">
            <wp:extent cx="5067300" cy="778654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16" cy="78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5816B" w14:textId="77777777" w:rsidR="00663CCE" w:rsidRDefault="00663CCE" w:rsidP="00FD7DB4">
      <w:pPr>
        <w:jc w:val="center"/>
      </w:pPr>
    </w:p>
    <w:tbl>
      <w:tblPr>
        <w:tblStyle w:val="TabelacomGrelha"/>
        <w:tblW w:w="5000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791"/>
        <w:gridCol w:w="5757"/>
      </w:tblGrid>
      <w:tr w:rsidR="00663CCE" w14:paraId="46975E34" w14:textId="77777777" w:rsidTr="007870DD">
        <w:trPr>
          <w:trHeight w:val="567"/>
        </w:trPr>
        <w:tc>
          <w:tcPr>
            <w:tcW w:w="1985" w:type="pct"/>
          </w:tcPr>
          <w:p w14:paraId="24B2B107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Designação do Projeto:</w:t>
            </w:r>
          </w:p>
        </w:tc>
        <w:tc>
          <w:tcPr>
            <w:tcW w:w="3015" w:type="pct"/>
          </w:tcPr>
          <w:p w14:paraId="763E1422" w14:textId="382F3400" w:rsidR="00663CCE" w:rsidRDefault="001D3AC8" w:rsidP="00663CCE">
            <w:proofErr w:type="spellStart"/>
            <w:r w:rsidRPr="001D3AC8">
              <w:t>Tecnibuild</w:t>
            </w:r>
            <w:proofErr w:type="spellEnd"/>
            <w:r w:rsidRPr="001D3AC8">
              <w:t xml:space="preserve"> - </w:t>
            </w:r>
            <w:proofErr w:type="spellStart"/>
            <w:r w:rsidRPr="001D3AC8">
              <w:t>Building</w:t>
            </w:r>
            <w:proofErr w:type="spellEnd"/>
            <w:r w:rsidRPr="001D3AC8">
              <w:t xml:space="preserve"> a global </w:t>
            </w:r>
            <w:proofErr w:type="spellStart"/>
            <w:r w:rsidRPr="001D3AC8">
              <w:t>strategy</w:t>
            </w:r>
            <w:proofErr w:type="spellEnd"/>
          </w:p>
        </w:tc>
      </w:tr>
      <w:tr w:rsidR="00663CCE" w14:paraId="1F5048BA" w14:textId="77777777" w:rsidTr="007870DD">
        <w:trPr>
          <w:trHeight w:val="567"/>
        </w:trPr>
        <w:tc>
          <w:tcPr>
            <w:tcW w:w="1985" w:type="pct"/>
          </w:tcPr>
          <w:p w14:paraId="3805C27D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Código do Projeto:</w:t>
            </w:r>
          </w:p>
        </w:tc>
        <w:tc>
          <w:tcPr>
            <w:tcW w:w="3015" w:type="pct"/>
          </w:tcPr>
          <w:p w14:paraId="500307D5" w14:textId="039B7B68" w:rsidR="00663CCE" w:rsidRPr="00FE7B8D" w:rsidRDefault="001D3AC8" w:rsidP="00663CCE">
            <w:r w:rsidRPr="001D3AC8">
              <w:t>POCI-02-0752-FEDER-042466</w:t>
            </w:r>
          </w:p>
        </w:tc>
      </w:tr>
      <w:tr w:rsidR="00663CCE" w14:paraId="35B0B99C" w14:textId="77777777" w:rsidTr="007870DD">
        <w:trPr>
          <w:trHeight w:val="567"/>
        </w:trPr>
        <w:tc>
          <w:tcPr>
            <w:tcW w:w="1985" w:type="pct"/>
          </w:tcPr>
          <w:p w14:paraId="6602D2F2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Objetivo</w:t>
            </w:r>
            <w:r w:rsidR="007870DD">
              <w:rPr>
                <w:b/>
              </w:rPr>
              <w:t>s</w:t>
            </w:r>
            <w:r w:rsidRPr="00663CCE">
              <w:rPr>
                <w:b/>
              </w:rPr>
              <w:t xml:space="preserve"> principa</w:t>
            </w:r>
            <w:r w:rsidR="007870DD">
              <w:rPr>
                <w:b/>
              </w:rPr>
              <w:t>is</w:t>
            </w:r>
            <w:r w:rsidRPr="00663CCE">
              <w:rPr>
                <w:b/>
              </w:rPr>
              <w:t xml:space="preserve">: </w:t>
            </w:r>
          </w:p>
        </w:tc>
        <w:tc>
          <w:tcPr>
            <w:tcW w:w="3015" w:type="pct"/>
          </w:tcPr>
          <w:p w14:paraId="6FD4CC96" w14:textId="40DC7A81" w:rsidR="00FE7100" w:rsidRDefault="00FE7100" w:rsidP="00FE7100">
            <w:pPr>
              <w:spacing w:after="120"/>
              <w:jc w:val="both"/>
            </w:pPr>
            <w:r>
              <w:t>Promover o aumento sustentado do seu volume de negócios, por via da aposta em segmentos de luxo,</w:t>
            </w:r>
            <w:r>
              <w:t xml:space="preserve"> </w:t>
            </w:r>
            <w:r>
              <w:t>nomeadamente empreendimentos turísticos, projetos de hotelaria e edifícios multisserviços (escritórios);</w:t>
            </w:r>
          </w:p>
          <w:p w14:paraId="53A9AC85" w14:textId="1803766A" w:rsidR="00FE7100" w:rsidRDefault="00FE7100" w:rsidP="00FE7100">
            <w:pPr>
              <w:spacing w:after="120"/>
              <w:jc w:val="both"/>
            </w:pPr>
            <w:r>
              <w:t>Firmar o seu posicionamento nos mercados onde já se encontra presente, por via do investimento contínuo em</w:t>
            </w:r>
            <w:r>
              <w:t xml:space="preserve"> </w:t>
            </w:r>
            <w:r>
              <w:t>ações de prospeçã</w:t>
            </w:r>
            <w:bookmarkStart w:id="0" w:name="_GoBack"/>
            <w:bookmarkEnd w:id="0"/>
            <w:r>
              <w:t>o nesses mercados;</w:t>
            </w:r>
          </w:p>
          <w:p w14:paraId="454D4EF4" w14:textId="25DBB878" w:rsidR="00FE7100" w:rsidRDefault="00FE7100" w:rsidP="00FE7100">
            <w:pPr>
              <w:spacing w:after="120"/>
              <w:jc w:val="both"/>
            </w:pPr>
            <w:r>
              <w:t>Fortalecer o vínculo com grandes empresas de construção, angariar novos clientes internacionais e estabelecer</w:t>
            </w:r>
            <w:r>
              <w:t xml:space="preserve"> </w:t>
            </w:r>
            <w:r>
              <w:t>novas parcerias estratégicas em mercados de elevado potencial de crescimento para a Empresa, nomeadamente 5</w:t>
            </w:r>
            <w:r>
              <w:t xml:space="preserve"> </w:t>
            </w:r>
            <w:r>
              <w:t>novos mercados externos (Arábia Saudita, Kuwait, Hong Kong, Colômbia, Estados Unidos);</w:t>
            </w:r>
          </w:p>
          <w:p w14:paraId="41DACDF8" w14:textId="408F7567" w:rsidR="00FE7100" w:rsidRDefault="00FE7100" w:rsidP="00FE7100">
            <w:pPr>
              <w:spacing w:after="120"/>
              <w:jc w:val="both"/>
            </w:pPr>
            <w:r>
              <w:t>Melhorar os processos de gestão, inovação, controlo, qualidade e marketing;</w:t>
            </w:r>
          </w:p>
          <w:p w14:paraId="49ED7510" w14:textId="0C0ED976" w:rsidR="00663CCE" w:rsidRPr="00591EA6" w:rsidRDefault="00FE7100" w:rsidP="00FE7100">
            <w:pPr>
              <w:spacing w:after="120"/>
              <w:jc w:val="both"/>
            </w:pPr>
            <w:r>
              <w:t>Reforço da equipa através de novas contratações.</w:t>
            </w:r>
          </w:p>
        </w:tc>
      </w:tr>
      <w:tr w:rsidR="00663CCE" w14:paraId="60C303CD" w14:textId="77777777" w:rsidTr="007870DD">
        <w:trPr>
          <w:trHeight w:val="567"/>
        </w:trPr>
        <w:tc>
          <w:tcPr>
            <w:tcW w:w="1985" w:type="pct"/>
          </w:tcPr>
          <w:p w14:paraId="57CD647F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Região de Intervenção:</w:t>
            </w:r>
          </w:p>
        </w:tc>
        <w:tc>
          <w:tcPr>
            <w:tcW w:w="3015" w:type="pct"/>
          </w:tcPr>
          <w:p w14:paraId="7D953945" w14:textId="77777777" w:rsidR="007870DD" w:rsidRPr="00591EA6" w:rsidRDefault="00933CF9" w:rsidP="007870DD">
            <w:r>
              <w:t>Norte</w:t>
            </w:r>
          </w:p>
        </w:tc>
      </w:tr>
      <w:tr w:rsidR="00663CCE" w14:paraId="5C4ECDD1" w14:textId="77777777" w:rsidTr="007870DD">
        <w:trPr>
          <w:trHeight w:val="567"/>
        </w:trPr>
        <w:tc>
          <w:tcPr>
            <w:tcW w:w="1985" w:type="pct"/>
          </w:tcPr>
          <w:p w14:paraId="3475B381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Entidade Beneficiária:</w:t>
            </w:r>
          </w:p>
        </w:tc>
        <w:tc>
          <w:tcPr>
            <w:tcW w:w="3015" w:type="pct"/>
          </w:tcPr>
          <w:p w14:paraId="22742226" w14:textId="61FB9295" w:rsidR="00663CCE" w:rsidRPr="00591EA6" w:rsidRDefault="001D3AC8" w:rsidP="00663CCE">
            <w:r w:rsidRPr="001D3AC8">
              <w:rPr>
                <w:sz w:val="20"/>
              </w:rPr>
              <w:t>RAMOS, ARAÚJO E FERNANDES, S.A.</w:t>
            </w:r>
          </w:p>
        </w:tc>
      </w:tr>
      <w:tr w:rsidR="00663CCE" w14:paraId="3153FF58" w14:textId="77777777" w:rsidTr="007870DD">
        <w:trPr>
          <w:trHeight w:val="567"/>
        </w:trPr>
        <w:tc>
          <w:tcPr>
            <w:tcW w:w="1985" w:type="pct"/>
          </w:tcPr>
          <w:p w14:paraId="563AA5BD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Data de Aprovação:</w:t>
            </w:r>
          </w:p>
        </w:tc>
        <w:tc>
          <w:tcPr>
            <w:tcW w:w="3015" w:type="pct"/>
          </w:tcPr>
          <w:p w14:paraId="22F52332" w14:textId="77777777" w:rsidR="00663CCE" w:rsidRPr="00591EA6" w:rsidRDefault="00933CF9" w:rsidP="00663CCE">
            <w:r>
              <w:t>09-04-2019</w:t>
            </w:r>
          </w:p>
        </w:tc>
      </w:tr>
      <w:tr w:rsidR="00663CCE" w14:paraId="310FD43E" w14:textId="77777777" w:rsidTr="007870DD">
        <w:trPr>
          <w:trHeight w:val="567"/>
        </w:trPr>
        <w:tc>
          <w:tcPr>
            <w:tcW w:w="1985" w:type="pct"/>
          </w:tcPr>
          <w:p w14:paraId="7E77A610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Data de Início</w:t>
            </w:r>
            <w:r w:rsidR="007870DD">
              <w:rPr>
                <w:b/>
              </w:rPr>
              <w:t xml:space="preserve"> do Projeto</w:t>
            </w:r>
            <w:r w:rsidRPr="00663CCE">
              <w:rPr>
                <w:b/>
              </w:rPr>
              <w:t>:</w:t>
            </w:r>
          </w:p>
        </w:tc>
        <w:tc>
          <w:tcPr>
            <w:tcW w:w="3015" w:type="pct"/>
          </w:tcPr>
          <w:p w14:paraId="4F2A9E83" w14:textId="77777777" w:rsidR="00663CCE" w:rsidRPr="00591EA6" w:rsidRDefault="00933CF9" w:rsidP="00663CCE">
            <w:r w:rsidRPr="00D32D2C">
              <w:rPr>
                <w:highlight w:val="yellow"/>
              </w:rPr>
              <w:t>01-11-2018</w:t>
            </w:r>
          </w:p>
        </w:tc>
      </w:tr>
      <w:tr w:rsidR="00663CCE" w14:paraId="64CD6F0F" w14:textId="77777777" w:rsidTr="007870DD">
        <w:trPr>
          <w:trHeight w:val="567"/>
        </w:trPr>
        <w:tc>
          <w:tcPr>
            <w:tcW w:w="1985" w:type="pct"/>
          </w:tcPr>
          <w:p w14:paraId="474E2165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Data de Conclusão</w:t>
            </w:r>
            <w:r w:rsidR="007870DD">
              <w:rPr>
                <w:b/>
              </w:rPr>
              <w:t xml:space="preserve"> do Projeto</w:t>
            </w:r>
            <w:r w:rsidRPr="00663CCE">
              <w:rPr>
                <w:b/>
              </w:rPr>
              <w:t>:</w:t>
            </w:r>
          </w:p>
        </w:tc>
        <w:tc>
          <w:tcPr>
            <w:tcW w:w="3015" w:type="pct"/>
          </w:tcPr>
          <w:p w14:paraId="1B63F57D" w14:textId="77777777" w:rsidR="00663CCE" w:rsidRPr="00591EA6" w:rsidRDefault="00933CF9" w:rsidP="00663CCE">
            <w:r w:rsidRPr="00D32D2C">
              <w:rPr>
                <w:highlight w:val="yellow"/>
              </w:rPr>
              <w:t>31-10-2020</w:t>
            </w:r>
          </w:p>
        </w:tc>
      </w:tr>
      <w:tr w:rsidR="00663CCE" w14:paraId="056B50CF" w14:textId="77777777" w:rsidTr="007870DD">
        <w:trPr>
          <w:trHeight w:val="567"/>
        </w:trPr>
        <w:tc>
          <w:tcPr>
            <w:tcW w:w="1985" w:type="pct"/>
          </w:tcPr>
          <w:p w14:paraId="382A8A8F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Custo total elegível:</w:t>
            </w:r>
          </w:p>
        </w:tc>
        <w:tc>
          <w:tcPr>
            <w:tcW w:w="3015" w:type="pct"/>
          </w:tcPr>
          <w:p w14:paraId="5312704E" w14:textId="2C305042" w:rsidR="00663CCE" w:rsidRPr="00591EA6" w:rsidRDefault="00AF0CA5" w:rsidP="00663CCE">
            <w:r>
              <w:t xml:space="preserve">EUR </w:t>
            </w:r>
            <w:r w:rsidR="001D3AC8" w:rsidRPr="001D3AC8">
              <w:t>254.825,00</w:t>
            </w:r>
          </w:p>
        </w:tc>
      </w:tr>
      <w:tr w:rsidR="00663CCE" w14:paraId="024C0690" w14:textId="77777777" w:rsidTr="007870DD">
        <w:trPr>
          <w:trHeight w:val="567"/>
        </w:trPr>
        <w:tc>
          <w:tcPr>
            <w:tcW w:w="1985" w:type="pct"/>
          </w:tcPr>
          <w:p w14:paraId="0107BAF8" w14:textId="77777777" w:rsidR="00AF0CA5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Apoio financeiro da União Europeia:</w:t>
            </w:r>
          </w:p>
          <w:p w14:paraId="209C5E30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 xml:space="preserve"> FEDER  </w:t>
            </w:r>
          </w:p>
        </w:tc>
        <w:tc>
          <w:tcPr>
            <w:tcW w:w="3015" w:type="pct"/>
          </w:tcPr>
          <w:p w14:paraId="29D623B8" w14:textId="77777777" w:rsidR="00AF0CA5" w:rsidRDefault="00AF0CA5" w:rsidP="00663CCE"/>
          <w:p w14:paraId="17250561" w14:textId="7B2C7DC3" w:rsidR="00663CCE" w:rsidRPr="00591EA6" w:rsidRDefault="00AF0CA5" w:rsidP="00663CCE">
            <w:r>
              <w:t xml:space="preserve">EUR </w:t>
            </w:r>
            <w:r w:rsidR="001D3AC8" w:rsidRPr="001D3AC8">
              <w:t>114.671,25</w:t>
            </w:r>
          </w:p>
        </w:tc>
      </w:tr>
      <w:tr w:rsidR="00663CCE" w14:paraId="5EC0D2CC" w14:textId="77777777" w:rsidTr="007870DD">
        <w:trPr>
          <w:trHeight w:val="567"/>
        </w:trPr>
        <w:tc>
          <w:tcPr>
            <w:tcW w:w="1985" w:type="pct"/>
          </w:tcPr>
          <w:p w14:paraId="39A47381" w14:textId="77777777" w:rsidR="00663CCE" w:rsidRPr="00663CCE" w:rsidRDefault="00663CCE" w:rsidP="00663CCE">
            <w:pPr>
              <w:jc w:val="right"/>
              <w:rPr>
                <w:b/>
              </w:rPr>
            </w:pPr>
            <w:r w:rsidRPr="00663CCE">
              <w:rPr>
                <w:b/>
              </w:rPr>
              <w:t>Descrição do Projeto:</w:t>
            </w:r>
          </w:p>
        </w:tc>
        <w:tc>
          <w:tcPr>
            <w:tcW w:w="3015" w:type="pct"/>
          </w:tcPr>
          <w:p w14:paraId="5B93203D" w14:textId="070909D7" w:rsidR="007C7A51" w:rsidRDefault="007C7A51" w:rsidP="007C7A51">
            <w:pPr>
              <w:spacing w:after="120"/>
              <w:jc w:val="both"/>
            </w:pPr>
            <w:r>
              <w:t xml:space="preserve">Desde a sua fundação que a </w:t>
            </w:r>
            <w:proofErr w:type="spellStart"/>
            <w:r>
              <w:t>Tecnibuild</w:t>
            </w:r>
            <w:proofErr w:type="spellEnd"/>
            <w:r>
              <w:t xml:space="preserve"> exibe a preocupação de atingir padrões de excelência nos serviços que</w:t>
            </w:r>
            <w:r>
              <w:t xml:space="preserve"> </w:t>
            </w:r>
            <w:r>
              <w:t xml:space="preserve">presta, dando primazia a fatores imateriais como a qualidade e a </w:t>
            </w:r>
            <w:proofErr w:type="spellStart"/>
            <w:r>
              <w:t>eco-inovação</w:t>
            </w:r>
            <w:proofErr w:type="spellEnd"/>
            <w:r>
              <w:t xml:space="preserve"> como fontes de competitividade no</w:t>
            </w:r>
            <w:r>
              <w:t xml:space="preserve"> </w:t>
            </w:r>
            <w:r>
              <w:t>mercado internacional. Com o presente projeto a Empresa visa fundamentalmente o crescimento da sua atividade</w:t>
            </w:r>
            <w:r>
              <w:t xml:space="preserve"> </w:t>
            </w:r>
            <w:r>
              <w:t xml:space="preserve">por via da </w:t>
            </w:r>
            <w:r>
              <w:lastRenderedPageBreak/>
              <w:t>aposta em fatores dinâmicos de competitividade, assente no reforço das suas competências internas a</w:t>
            </w:r>
            <w:r>
              <w:t xml:space="preserve"> </w:t>
            </w:r>
            <w:r>
              <w:t>nível organizacional e de gestão e na criação de condições e meios para a conquista e fidelização de novos clientes</w:t>
            </w:r>
            <w:r>
              <w:t xml:space="preserve"> </w:t>
            </w:r>
            <w:r>
              <w:t>no mercado internacional.</w:t>
            </w:r>
          </w:p>
          <w:p w14:paraId="333DA3C7" w14:textId="2422DD00" w:rsidR="00D32D2C" w:rsidRPr="00591EA6" w:rsidRDefault="007C7A51" w:rsidP="007C7A51">
            <w:pPr>
              <w:spacing w:after="120"/>
              <w:jc w:val="both"/>
            </w:pPr>
            <w:r>
              <w:t>Assim, surge a necessidade de aquisição de conhecimento sobre os mercados a abordar, criar relações de confiança</w:t>
            </w:r>
            <w:r>
              <w:t xml:space="preserve"> </w:t>
            </w:r>
            <w:r>
              <w:t>com os novos clientes e parceiros, e entender as especificidades de cada mercado no que respeita a normas,</w:t>
            </w:r>
            <w:r>
              <w:t xml:space="preserve"> </w:t>
            </w:r>
            <w:r>
              <w:t>processos e outras burocracias necessárias à concretização de vendas nesses mercados. Para o efeito, será</w:t>
            </w:r>
            <w:r>
              <w:t xml:space="preserve"> </w:t>
            </w:r>
            <w:r>
              <w:t>necessário investir em ações de conhecimento de mercados externos, não só para adquirir novos contactos que</w:t>
            </w:r>
            <w:r>
              <w:t xml:space="preserve"> </w:t>
            </w:r>
            <w:r>
              <w:t>se traduzirão na captação de parcerias ou potenciais clientes, mas também no que respeita às especificidades</w:t>
            </w:r>
            <w:r>
              <w:t xml:space="preserve"> </w:t>
            </w:r>
            <w:r>
              <w:t>burocráticas e processuais que cada um dos novos mercados possui.</w:t>
            </w:r>
          </w:p>
        </w:tc>
      </w:tr>
    </w:tbl>
    <w:p w14:paraId="2663BD38" w14:textId="77777777" w:rsidR="00591EA6" w:rsidRDefault="00591EA6" w:rsidP="00FD7DB4">
      <w:pPr>
        <w:jc w:val="center"/>
      </w:pPr>
    </w:p>
    <w:p w14:paraId="3073DF2E" w14:textId="77777777" w:rsidR="0073679A" w:rsidRDefault="00D32D2C" w:rsidP="0073679A">
      <w:r>
        <w:rPr>
          <w:noProof/>
        </w:rPr>
        <w:drawing>
          <wp:anchor distT="0" distB="0" distL="114300" distR="114300" simplePos="0" relativeHeight="251658240" behindDoc="0" locked="0" layoutInCell="1" allowOverlap="1" wp14:anchorId="18C239E1" wp14:editId="1FEF789A">
            <wp:simplePos x="1035934" y="4855580"/>
            <wp:positionH relativeFrom="column">
              <wp:posOffset>1038394</wp:posOffset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5422724B" w14:textId="77777777" w:rsidR="0073679A" w:rsidRPr="0073679A" w:rsidRDefault="0073679A" w:rsidP="0073679A"/>
    <w:p w14:paraId="14ABD56C" w14:textId="77777777" w:rsidR="0073679A" w:rsidRPr="0073679A" w:rsidRDefault="0073679A" w:rsidP="0073679A"/>
    <w:p w14:paraId="40A82B6D" w14:textId="77777777" w:rsidR="0073679A" w:rsidRPr="0073679A" w:rsidRDefault="0073679A" w:rsidP="0073679A"/>
    <w:p w14:paraId="4B99E36D" w14:textId="77777777" w:rsidR="0073679A" w:rsidRDefault="0073679A" w:rsidP="0073679A"/>
    <w:p w14:paraId="5B5ED067" w14:textId="0E96D5EF" w:rsidR="009D784E" w:rsidRDefault="0073679A" w:rsidP="0073679A">
      <w:r>
        <w:br w:type="textWrapping" w:clear="all"/>
      </w:r>
    </w:p>
    <w:sectPr w:rsidR="009D784E" w:rsidSect="007870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D2D"/>
    <w:multiLevelType w:val="hybridMultilevel"/>
    <w:tmpl w:val="F30EFBA2"/>
    <w:lvl w:ilvl="0" w:tplc="6FF0A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4996"/>
    <w:multiLevelType w:val="hybridMultilevel"/>
    <w:tmpl w:val="F210D264"/>
    <w:lvl w:ilvl="0" w:tplc="741EFC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C3774"/>
    <w:multiLevelType w:val="hybridMultilevel"/>
    <w:tmpl w:val="374AA25A"/>
    <w:lvl w:ilvl="0" w:tplc="77B25F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A6"/>
    <w:rsid w:val="000F2AD0"/>
    <w:rsid w:val="001562A4"/>
    <w:rsid w:val="001D3AC8"/>
    <w:rsid w:val="0023324A"/>
    <w:rsid w:val="003556E6"/>
    <w:rsid w:val="003E227E"/>
    <w:rsid w:val="00591EA6"/>
    <w:rsid w:val="00663CCE"/>
    <w:rsid w:val="0073679A"/>
    <w:rsid w:val="007870DD"/>
    <w:rsid w:val="007C7A51"/>
    <w:rsid w:val="008760EB"/>
    <w:rsid w:val="008B54E0"/>
    <w:rsid w:val="008E0653"/>
    <w:rsid w:val="00933CF9"/>
    <w:rsid w:val="009D784E"/>
    <w:rsid w:val="00AC7A49"/>
    <w:rsid w:val="00AF0CA5"/>
    <w:rsid w:val="00D32D2C"/>
    <w:rsid w:val="00D37B0E"/>
    <w:rsid w:val="00FD7DB4"/>
    <w:rsid w:val="00FE7100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C239"/>
  <w15:chartTrackingRefBased/>
  <w15:docId w15:val="{5F01ADB1-F471-471D-8E21-A3F72D39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6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3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3CF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Grau de execução previsto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Grau de execução previsto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B2FD-4452-8AD0-3F263CAB376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B2FD-4452-8AD0-3F263CAB376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B2FD-4452-8AD0-3F263CAB376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B2FD-4452-8AD0-3F263CAB3766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FD-4452-8AD0-3F263CAB376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FD-4452-8AD0-3F263CAB3766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FD-4452-8AD0-3F263CAB3766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FD-4452-8AD0-3F263CAB37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Folha1!$A$2:$A$5</c:f>
              <c:strCache>
                <c:ptCount val="4"/>
                <c:pt idx="0">
                  <c:v>1° Sem.</c:v>
                </c:pt>
                <c:pt idx="1">
                  <c:v>2° Sem.</c:v>
                </c:pt>
                <c:pt idx="2">
                  <c:v>3° Sem.</c:v>
                </c:pt>
                <c:pt idx="3">
                  <c:v>4° Sem.</c:v>
                </c:pt>
              </c:strCache>
            </c:strRef>
          </c:cat>
          <c:val>
            <c:numRef>
              <c:f>Folha1!$B$2:$B$5</c:f>
              <c:numCache>
                <c:formatCode>0.00%</c:formatCode>
                <c:ptCount val="4"/>
                <c:pt idx="0">
                  <c:v>0.42449999999999999</c:v>
                </c:pt>
                <c:pt idx="1">
                  <c:v>0.2021</c:v>
                </c:pt>
                <c:pt idx="2">
                  <c:v>0.23930000000000001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2-4F80-A8E5-F29AE538BF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Ferreira</dc:creator>
  <cp:keywords/>
  <dc:description/>
  <cp:lastModifiedBy>Gonçalo Rodrigues | GoGlobal</cp:lastModifiedBy>
  <cp:revision>18</cp:revision>
  <dcterms:created xsi:type="dcterms:W3CDTF">2017-08-31T13:31:00Z</dcterms:created>
  <dcterms:modified xsi:type="dcterms:W3CDTF">2019-05-20T08:52:00Z</dcterms:modified>
</cp:coreProperties>
</file>